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49D92C" w14:textId="77777777" w:rsidR="000B5123" w:rsidRDefault="0059582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Internship Spring 26’ Final Report</w:t>
      </w:r>
    </w:p>
    <w:p w14:paraId="1749D92D" w14:textId="77777777" w:rsidR="000B5123" w:rsidRDefault="0059582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Paige Stanton</w:t>
      </w:r>
    </w:p>
    <w:p w14:paraId="1749D92E"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 Project Overview:</w:t>
      </w:r>
    </w:p>
    <w:p w14:paraId="1749D92F"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This semester, I worked with a small independent health education company called Health Ed Pros that mainly serves central Indiana and is located in Indianapolis. My specific project, however, was working on the “Breathe: Healthy Steps to Living Tobacco Free” program, which is a tobacco education program focused on low-income families with young children throughout Indiana. During my time working with Health Ed Pros, my preceptor, Tanya Shelburne, created Breathes mission and vision statements to help clearly state the program's purpose. Breathe’s mission statement is: Breathe strives to train staff in organizations serving families with low incomes (including Head Starts) across Indiana on the burden of tobacco so they feel equipped and empowered to educate and share resources with the families they serve. Their vision statement emphasizes that they want young children to grow up free of exposure to secondhand and thirdhand smoke or vapor. This program is funded by the Indiana Tobacco Prevention and Cessation Commission (TPC), however, Breathe is not solely focused on getting parents to quit. Rather, they aim to educate parents/caregivers about how to prevent exposure to secondhand and thirdhand smoke for their children. </w:t>
      </w:r>
    </w:p>
    <w:p w14:paraId="1749D930"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My main role in this project was to collect data and evaluate the attitudes and behaviors of parents and caregivers of young children related to tobacco, as well as any feedback they have on the Breathe program materials. Prior to starting my work with Breathe, I spent the first 2 weeks mainly learning about the Breathe program to gain a deeper understanding of the project. This involved looking at their grant application, website, past deliverables, educational materials, and the past interns' evaluation proposal. Throughout this internship, I also observed multiple in-person and virtual Breathe trainings, giving me a strong foundation to understand Breathe and what we’re evaluating. I worked with Tanya, Alison Muckerheide (HEP Project Specialist), and County Coordinators (TPC Funded Partners doing tobacco control work in a specific county) to design, conduct, and analyze 2 focus groups across Indiana. The first focus group was in Bartholomew County, and the second was in Orange County. This data will be used to make recommendations ultimately aimed at improving the Breathe program and its educational materials. Outside of Breathe, I also attended many meetings, created a parent resource sheet (</w:t>
      </w:r>
      <w:r w:rsidR="52AC3F06" w:rsidRPr="3B449B4C">
        <w:rPr>
          <w:rFonts w:ascii="Times New Roman" w:eastAsia="Times New Roman" w:hAnsi="Times New Roman" w:cs="Times New Roman"/>
          <w:i/>
          <w:iCs/>
          <w:sz w:val="24"/>
          <w:szCs w:val="24"/>
          <w:lang w:val="en-US"/>
        </w:rPr>
        <w:t>see Figure 17</w:t>
      </w:r>
      <w:r w:rsidR="52AC3F06" w:rsidRPr="3B449B4C">
        <w:rPr>
          <w:rFonts w:ascii="Times New Roman" w:eastAsia="Times New Roman" w:hAnsi="Times New Roman" w:cs="Times New Roman"/>
          <w:sz w:val="24"/>
          <w:szCs w:val="24"/>
          <w:lang w:val="en-US"/>
        </w:rPr>
        <w:t xml:space="preserve">), collected point-of-sale data, and shadowed a few of Health Ed Pros’ classes. </w:t>
      </w:r>
      <w:r w:rsidR="52AC3F06" w:rsidRPr="3B449B4C">
        <w:rPr>
          <w:rFonts w:ascii="Times New Roman" w:eastAsia="Times New Roman" w:hAnsi="Times New Roman" w:cs="Times New Roman"/>
          <w:sz w:val="24"/>
          <w:szCs w:val="24"/>
          <w:lang w:val="en-US"/>
        </w:rPr>
        <w:lastRenderedPageBreak/>
        <w:t>These Health Ed Pros’ classes consisted of SafeSitter and Safe@Home classes, which are both aimed at teaching children how to take care of themselves and others when at home without their parents/caregivers. The SafeSitter and Safe@Home classes that I attended were all virtual, but there were also in-person classes at elementary schools geared towards teaching them about basic health education, covering topics like puberty, hygiene, and drugs.</w:t>
      </w:r>
    </w:p>
    <w:p w14:paraId="1749D931" w14:textId="77777777" w:rsidR="000B5123" w:rsidRDefault="000B5123">
      <w:pPr>
        <w:spacing w:line="360" w:lineRule="auto"/>
        <w:rPr>
          <w:rFonts w:ascii="Times New Roman" w:eastAsia="Times New Roman" w:hAnsi="Times New Roman" w:cs="Times New Roman"/>
          <w:sz w:val="24"/>
          <w:szCs w:val="24"/>
        </w:rPr>
      </w:pPr>
    </w:p>
    <w:p w14:paraId="1749D932"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Profile of Our Target Audience</w:t>
      </w:r>
    </w:p>
    <w:p w14:paraId="1749D933"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While we had an evaluation proposal from a previous intern, Tanya, Alison, and I still wanted to complete some of our own preliminary research. Before planning the focus groups, we first researched our target audience, how to create surveys, and how to conduct focus groups. Tanya, Alison, and I split up our target audience into 3 parts so we could each do our own research. Tanya created a profile for TPC Funded Partners, Alison created a profile for Head Start Staff, and I created a profile for Head Start parents. The profile I created was specifically focused on parents from Head Start and similar organizations across Indiana. Basic demographics, statistics, and important notes were all listed in the profile, and similar information was listed in both Tanya's and Alison's profiles. These allowed us to gain a deeper understanding of our target audience, helping the focus group content and surveys be tailored towards them effectively.</w:t>
      </w:r>
    </w:p>
    <w:p w14:paraId="1749D934" w14:textId="77777777" w:rsidR="000B5123" w:rsidRDefault="000B5123">
      <w:pPr>
        <w:spacing w:line="360" w:lineRule="auto"/>
        <w:rPr>
          <w:rFonts w:ascii="Times New Roman" w:eastAsia="Times New Roman" w:hAnsi="Times New Roman" w:cs="Times New Roman"/>
          <w:sz w:val="24"/>
          <w:szCs w:val="24"/>
        </w:rPr>
      </w:pPr>
    </w:p>
    <w:p w14:paraId="1749D935" w14:textId="77777777" w:rsidR="000B5123" w:rsidRDefault="0059582A">
      <w:pPr>
        <w:spacing w:line="360" w:lineRule="auto"/>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Recruitment and Flyers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(See Figures 1, 2, 3, &amp; 4)</w:t>
      </w:r>
    </w:p>
    <w:p w14:paraId="1749D936"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The next step was determining how we want to recruit participants. Tanya identified 3 County Coordinators based on their successful implementation of Breathe and tried to get input from across the state. Kylee Jones is the County Coordinator for Bartholomew County, Tonya Slone is the County Coordinator for Orange County, and Erika Contreras-Padilla is the County Coordinator for Elkhart County. Tanya and I were in constant communication with them all, giving each other updates on where we were in the project. Our goal was to make a personalized flyer for each County Coordinator, and they would distribute it and recruit the participants. </w:t>
      </w:r>
    </w:p>
    <w:p w14:paraId="1749D937" w14:textId="77777777" w:rsidR="000B5123" w:rsidRDefault="52AC3F06" w:rsidP="3B449B4C">
      <w:pPr>
        <w:spacing w:line="360" w:lineRule="auto"/>
        <w:ind w:firstLine="720"/>
        <w:rPr>
          <w:rFonts w:ascii="Times New Roman" w:eastAsia="Times New Roman" w:hAnsi="Times New Roman" w:cs="Times New Roman"/>
          <w:sz w:val="24"/>
          <w:szCs w:val="24"/>
          <w:lang w:val="en-US"/>
        </w:rPr>
      </w:pPr>
      <w:r w:rsidRPr="3B449B4C">
        <w:rPr>
          <w:rFonts w:ascii="Times New Roman" w:eastAsia="Times New Roman" w:hAnsi="Times New Roman" w:cs="Times New Roman"/>
          <w:sz w:val="24"/>
          <w:szCs w:val="24"/>
          <w:lang w:val="en-US"/>
        </w:rPr>
        <w:t xml:space="preserve">Before creating the personalized flyers, I reviewed multiple flyers to recruit participants for focus groups to help me create one for Breathe. Specifically, I looked at examples that were public health-related, as I thought those would be helpful when designing the flyers for Breathe. I wanted to keep the color scheme and overall theme similar to Breathe’s website and other </w:t>
      </w:r>
      <w:r w:rsidRPr="3B449B4C">
        <w:rPr>
          <w:rFonts w:ascii="Times New Roman" w:eastAsia="Times New Roman" w:hAnsi="Times New Roman" w:cs="Times New Roman"/>
          <w:sz w:val="24"/>
          <w:szCs w:val="24"/>
          <w:lang w:val="en-US"/>
        </w:rPr>
        <w:lastRenderedPageBreak/>
        <w:t xml:space="preserve">materials, but I still found looking at other examples very beneficial. When creating the flyer, I sent multiple drafts to Tanya and the County Coordinators to see if they had any insights or suggestions on the format and content. First, I sent an empty template without the text filled in to see if the overall format and design made sense. Next, I added the content, including a brief description of the focus group and who we’re looking for, the date, time, and address, the County Coordinators' contact information, and the incentives listed out. I also included a QR code for participants to sign up and a confidentiality notice, ensuring the participants' personal information will remain confidential. While adding the text, we wanted to make sure the flyer was inclusive and sounded welcoming and judgment-free. The profiles of our target audience were very helpful in writing the text on the flyer because they gave us important insights. Our target audience is more likely to have lower reading levels, so we decided to write in shorter sentences, simpler words, and avoid jargon. </w:t>
      </w:r>
    </w:p>
    <w:p w14:paraId="1749D938" w14:textId="77777777" w:rsidR="000B5123" w:rsidRDefault="52AC3F06" w:rsidP="3B449B4C">
      <w:pPr>
        <w:spacing w:line="360" w:lineRule="auto"/>
        <w:ind w:firstLine="720"/>
        <w:rPr>
          <w:rFonts w:ascii="Times New Roman" w:eastAsia="Times New Roman" w:hAnsi="Times New Roman" w:cs="Times New Roman"/>
          <w:sz w:val="24"/>
          <w:szCs w:val="24"/>
          <w:lang w:val="en-US"/>
        </w:rPr>
      </w:pPr>
      <w:r w:rsidRPr="3B449B4C">
        <w:rPr>
          <w:rFonts w:ascii="Times New Roman" w:eastAsia="Times New Roman" w:hAnsi="Times New Roman" w:cs="Times New Roman"/>
          <w:sz w:val="24"/>
          <w:szCs w:val="24"/>
          <w:lang w:val="en-US"/>
        </w:rPr>
        <w:t>Unfortunately, Erika was unable to host a focus group in Elkhart County, so there isn’t a personalized flyer for this county. However, I met Erika in person at the Northern Indiana TPC Regional Meeting, and she mentioned making a basic flyer aimed at gauging interest in a focus group rather than recruiting. Overall, 2 personalized flyers were created, for Bartholomew and Orange County, and 1 basic flyer was created for Elkhart County. Kylee and Tonya then used their flyers to recruit participants for the focus group in their respective Counties.</w:t>
      </w:r>
    </w:p>
    <w:p w14:paraId="1749D939" w14:textId="77777777" w:rsidR="000B5123" w:rsidRDefault="000B5123">
      <w:pPr>
        <w:spacing w:line="360" w:lineRule="auto"/>
        <w:rPr>
          <w:rFonts w:ascii="Times New Roman" w:eastAsia="Times New Roman" w:hAnsi="Times New Roman" w:cs="Times New Roman"/>
          <w:sz w:val="24"/>
          <w:szCs w:val="24"/>
        </w:rPr>
      </w:pPr>
    </w:p>
    <w:p w14:paraId="1749D93A" w14:textId="77777777" w:rsidR="000B5123" w:rsidRDefault="0059582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Incentives</w:t>
      </w:r>
    </w:p>
    <w:p w14:paraId="1749D93B"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Early into planning our focus groups, Tanya and I also needed to come up with ideas of incentives for the participants. Tanya had budgeted for $50 per participant in the form of gift cards, but we weren’t sure which gift cards we wanted to use. To encourage completion of all the surveys and the actual focus group, we split up the $50, so the participants would get a certain amount of gift cards per task. They got $5 for the pre-survey, $30 for attending the focus group, and $15 for the post-survey. The gift cards were either given to the participants in person at the focus group or mailed to them once the post-surveys were completed.</w:t>
      </w:r>
    </w:p>
    <w:p w14:paraId="1749D93C" w14:textId="77777777" w:rsidR="000B5123" w:rsidRDefault="52AC3F06" w:rsidP="3B449B4C">
      <w:pPr>
        <w:spacing w:line="360" w:lineRule="auto"/>
        <w:ind w:firstLine="720"/>
        <w:rPr>
          <w:rFonts w:ascii="Times New Roman" w:eastAsia="Times New Roman" w:hAnsi="Times New Roman" w:cs="Times New Roman"/>
          <w:sz w:val="24"/>
          <w:szCs w:val="24"/>
          <w:lang w:val="en-US"/>
        </w:rPr>
      </w:pPr>
      <w:r w:rsidRPr="3B449B4C">
        <w:rPr>
          <w:rFonts w:ascii="Times New Roman" w:eastAsia="Times New Roman" w:hAnsi="Times New Roman" w:cs="Times New Roman"/>
          <w:sz w:val="24"/>
          <w:szCs w:val="24"/>
          <w:lang w:val="en-US"/>
        </w:rPr>
        <w:t xml:space="preserve">In the past, Tanya had used Walmart and Starbucks gift cards, and we both thought those were great options to include. However, we wanted to give each participant around 3-5 gift card options, leaving Tanya and I to brainstorm for other options. I used the profile I had created for our target audience to help me think of possible and realistic options, and came up with </w:t>
      </w:r>
      <w:r w:rsidRPr="3B449B4C">
        <w:rPr>
          <w:rFonts w:ascii="Times New Roman" w:eastAsia="Times New Roman" w:hAnsi="Times New Roman" w:cs="Times New Roman"/>
          <w:sz w:val="24"/>
          <w:szCs w:val="24"/>
          <w:lang w:val="en-US"/>
        </w:rPr>
        <w:lastRenderedPageBreak/>
        <w:t>Uber/Lyft, DoorDash/Uber Eats, or an Amazon gift card. Uber or Lyft gift cards could help if they have any transportation issues, Amazon gift cards can be used for a wide variety of things, and DoorDash or Uber Eats felt very practical considering our target audience. The evaluation proposal from the past intern also included the option of Starbucks. After discussing with Tanya and the County Coordinators, we decided on including these options: Walmart, Speedway (fuel only), Uber/Uber Eats, and Starbucks. The County Coordinators were also able to provide food and childcare for the participants. Kylee was able to provide pasta, salad, and breadsticks from Fazoli’s for the Bartholomew County focus group, as well as childcare. There were a few caregivers for the childcare, and they were taken to another room, which also allowed us to continue the focus group without interruption. Tonya was able to provide pizza and soda from Domino’s Pizza for the Orange County Focus group. There were far fewer children brought to the Orange County focus group, but Tonya was still able to watch over them while the focus group occurred. Providing dinner and childcare made it much easier for the parents to attend the focus group.</w:t>
      </w:r>
    </w:p>
    <w:p w14:paraId="1749D93D" w14:textId="77777777" w:rsidR="000B5123" w:rsidRDefault="000B5123">
      <w:pPr>
        <w:spacing w:line="360" w:lineRule="auto"/>
        <w:ind w:firstLine="720"/>
        <w:rPr>
          <w:rFonts w:ascii="Times New Roman" w:eastAsia="Times New Roman" w:hAnsi="Times New Roman" w:cs="Times New Roman"/>
          <w:sz w:val="24"/>
          <w:szCs w:val="24"/>
        </w:rPr>
      </w:pPr>
    </w:p>
    <w:p w14:paraId="1749D93E" w14:textId="77777777" w:rsidR="000B5123" w:rsidRDefault="0059582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Surveys: Registration, Pre-survey, and Post-Survey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(See Figures 5, 6, 7, &amp; 8)</w:t>
      </w:r>
    </w:p>
    <w:p w14:paraId="1749D93F"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The first survey created was the registration, which the QR code on the personalized flyers linked to. This survey was very short and mainly contained demographic information about the participants. Tanya created the registration survey in SurveyMonkey and sent the County Coordinator and I weekly updates on whether anyone had registered. With both focus groups, we didn’t get many participants to sign up the week before the focus group date, as the majority of them registered at the last minute. This led Tanya, Alison, the County Coordinators, and I to brainstorm possible backup plans in case we didn’t get enough participants the day of.</w:t>
      </w:r>
    </w:p>
    <w:p w14:paraId="1749D940"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We then worked on creating the second survey, the pre-survey, which contained demographics about the participants, but mainly focused on their tobacco use and behaviors regarding their use. Questions included whether they were current or former tobacco users, or never smoked. Logic was built into the survey so that participants were asked different questions based on their tobacco use status. Some of the additional questions included covered where they use tobacco, if the young children in their care were exposed, when they started, and how often they use. The original plan for the pre-surveys was to send them to all the registered participants a week before the focus group and send 3 reminders via text and email throughout that week. </w:t>
      </w:r>
      <w:r w:rsidR="52AC3F06" w:rsidRPr="3B449B4C">
        <w:rPr>
          <w:rFonts w:ascii="Times New Roman" w:eastAsia="Times New Roman" w:hAnsi="Times New Roman" w:cs="Times New Roman"/>
          <w:sz w:val="24"/>
          <w:szCs w:val="24"/>
          <w:lang w:val="en-US"/>
        </w:rPr>
        <w:lastRenderedPageBreak/>
        <w:t>However, since the majority of the participants didn’t register until 1-2 days before the focus group, we weren’t able to follow our initial timeline. Instead, Tanya sent out the pre-survey as soon as they registered and sent reminders more frequently. Some of the participants weren't able to complete the pre-survey ahead of the focus group. To combat this, we had them either complete the pre-survey before the focus group started, complete it right after the focus group concluded, or complete it later at home. Every participant from both focus groups completed the pre-survey, giving us a total of 18 responses.</w:t>
      </w:r>
    </w:p>
    <w:p w14:paraId="1749D941"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The last survey we sent out, the post-survey, didn’t ask them as much about their own personal behavior, like the pre-survey. Rather, it asked them to review multiple Breathe materials, with each focus group reviewing different options. Bartholomew County participants reviewed the Thirdhand Smoke and the Happy vs. Sad Lungs Activity video. Orange County participants reviewed the Parent/Caregiver webpage and either the Pregnancy or Quitting webpage. Both post-surveys utilized similar questions to the focus group to get feedback. Since the post-survey was the last task and didn’t have to be completed prior to anything else, the participants had much more time to complete it, no matter the time they registered. We still gave them a deadline on when to finish it, but they were actually given the entire week to complete it. There was one participant from the Bartholomew County focus group who didn’t complete the post-survey, but we still got a total of 17 responses. </w:t>
      </w:r>
    </w:p>
    <w:p w14:paraId="1749D942" w14:textId="77777777" w:rsidR="000B5123" w:rsidRDefault="000B5123">
      <w:pPr>
        <w:spacing w:line="360" w:lineRule="auto"/>
        <w:rPr>
          <w:rFonts w:ascii="Times New Roman" w:eastAsia="Times New Roman" w:hAnsi="Times New Roman" w:cs="Times New Roman"/>
          <w:sz w:val="24"/>
          <w:szCs w:val="24"/>
        </w:rPr>
      </w:pPr>
    </w:p>
    <w:p w14:paraId="1749D943"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Focus Group Research and Script </w:t>
      </w:r>
      <w:r>
        <w:rPr>
          <w:rFonts w:ascii="Times New Roman" w:eastAsia="Times New Roman" w:hAnsi="Times New Roman" w:cs="Times New Roman"/>
          <w:i/>
          <w:iCs/>
          <w:sz w:val="24"/>
          <w:szCs w:val="24"/>
        </w:rPr>
        <w:t>(See Figures 9 &amp; 10)</w:t>
      </w:r>
    </w:p>
    <w:p w14:paraId="1749D944" w14:textId="77777777" w:rsidR="000B5123" w:rsidRDefault="52AC3F06" w:rsidP="3B449B4C">
      <w:pPr>
        <w:spacing w:line="360" w:lineRule="auto"/>
        <w:ind w:firstLine="720"/>
        <w:rPr>
          <w:rFonts w:ascii="Times New Roman" w:eastAsia="Times New Roman" w:hAnsi="Times New Roman" w:cs="Times New Roman"/>
          <w:sz w:val="24"/>
          <w:szCs w:val="24"/>
          <w:lang w:val="en-US"/>
        </w:rPr>
      </w:pPr>
      <w:r w:rsidRPr="3B449B4C">
        <w:rPr>
          <w:rFonts w:ascii="Times New Roman" w:eastAsia="Times New Roman" w:hAnsi="Times New Roman" w:cs="Times New Roman"/>
          <w:sz w:val="24"/>
          <w:szCs w:val="24"/>
          <w:lang w:val="en-US"/>
        </w:rPr>
        <w:t xml:space="preserve">I also conducted extensive research on focus groups, how to facilitate them, and useful insights on how to organize them. We decided that 6-8 participants per focus group was ideal, with about 45 minutes to discuss around 20 questions, and the rest of the 15 minutes for introductions, ground rules, and the conclusion. Tanya, Alison, the County Coordinators, and I all worked together and took on different roles within the focus group to ensure it went smoothly. Tanya and I were the co-facilitators, Alison checked the participants in and wrote the transcript, and the County Coordinators assisted with childcare and provided dinner. We made sure to ask open-ended questions to encourage conversations between participants and developed a script for Tanya and I to read from. This research also helped us determine possible incentives aside from just gift cards. Providing things such as food, gifts, or even just the opportunity to share opinions with others are all great examples of additional incentives, some of which we </w:t>
      </w:r>
      <w:r w:rsidRPr="3B449B4C">
        <w:rPr>
          <w:rFonts w:ascii="Times New Roman" w:eastAsia="Times New Roman" w:hAnsi="Times New Roman" w:cs="Times New Roman"/>
          <w:sz w:val="24"/>
          <w:szCs w:val="24"/>
          <w:lang w:val="en-US"/>
        </w:rPr>
        <w:lastRenderedPageBreak/>
        <w:t>included in our actual focus groups. Additionally, to ensure confidentiality, the participants were also given name tags to identify one another by pre-assigned inanimate objects. These nicknames were also what Alison used in her transcripts from the focus groups to determine what each person said.</w:t>
      </w:r>
    </w:p>
    <w:p w14:paraId="1749D945" w14:textId="77777777" w:rsidR="000B5123" w:rsidRDefault="000B5123">
      <w:pPr>
        <w:spacing w:line="360" w:lineRule="auto"/>
        <w:rPr>
          <w:rFonts w:ascii="Times New Roman" w:eastAsia="Times New Roman" w:hAnsi="Times New Roman" w:cs="Times New Roman"/>
          <w:sz w:val="24"/>
          <w:szCs w:val="24"/>
        </w:rPr>
      </w:pPr>
    </w:p>
    <w:p w14:paraId="1749D946"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Initial Plan vs. Reality </w:t>
      </w:r>
      <w:r>
        <w:rPr>
          <w:rFonts w:ascii="Times New Roman" w:eastAsia="Times New Roman" w:hAnsi="Times New Roman" w:cs="Times New Roman"/>
          <w:i/>
          <w:iCs/>
          <w:sz w:val="24"/>
          <w:szCs w:val="24"/>
        </w:rPr>
        <w:t>(See Figure 11)</w:t>
      </w:r>
    </w:p>
    <w:p w14:paraId="1749D947" w14:textId="77777777" w:rsidR="000B5123" w:rsidRDefault="52AC3F06" w:rsidP="3B449B4C">
      <w:pPr>
        <w:spacing w:line="360" w:lineRule="auto"/>
        <w:ind w:firstLine="720"/>
        <w:rPr>
          <w:rFonts w:ascii="Times New Roman" w:eastAsia="Times New Roman" w:hAnsi="Times New Roman" w:cs="Times New Roman"/>
          <w:sz w:val="24"/>
          <w:szCs w:val="24"/>
          <w:lang w:val="en-US"/>
        </w:rPr>
      </w:pPr>
      <w:r w:rsidRPr="3B449B4C">
        <w:rPr>
          <w:rFonts w:ascii="Times New Roman" w:eastAsia="Times New Roman" w:hAnsi="Times New Roman" w:cs="Times New Roman"/>
          <w:sz w:val="24"/>
          <w:szCs w:val="24"/>
          <w:lang w:val="en-US"/>
        </w:rPr>
        <w:t xml:space="preserve">Planning the focus groups and communicating with the County Coordinators requires a lot of flexibility, as our initial plan isn’t necessarily how things turned out. However, it was very helpful to have a plan set that we are able to work off of and then adjust the plan when necessary. The initial plan was to facilitate a total of 3 focus groups across Indiana in Bartholomew, Orange, and Elkhart Counties. We created a timeline for when to send out our pre-surveys and post-surveys. Pre-surveys were intended to be sent to registered participants a week prior to the focus group, and the post-surveys were meant to be sent out the week after the focus group took place. As for the actual focus group content, we planned on asking 20 discussion questions, 10 of which were about specific Breathe material, and 2 additional introductory/concluding questions. During the focus group, we planned to give each participant the gift cards they had earned up to that point (up to $35). We also aimed to audio-record and transcribe the focus group, so we wanted to record using a Zoom meeting with the camera turned off and have Alison transcribe in real time. </w:t>
      </w:r>
    </w:p>
    <w:p w14:paraId="1749D948" w14:textId="77777777" w:rsidR="000B5123" w:rsidRDefault="52AC3F06" w:rsidP="3B449B4C">
      <w:pPr>
        <w:spacing w:line="360" w:lineRule="auto"/>
        <w:ind w:firstLine="720"/>
        <w:rPr>
          <w:rFonts w:ascii="Times New Roman" w:eastAsia="Times New Roman" w:hAnsi="Times New Roman" w:cs="Times New Roman"/>
          <w:sz w:val="24"/>
          <w:szCs w:val="24"/>
          <w:lang w:val="en-US"/>
        </w:rPr>
      </w:pPr>
      <w:r w:rsidRPr="3B449B4C">
        <w:rPr>
          <w:rFonts w:ascii="Times New Roman" w:eastAsia="Times New Roman" w:hAnsi="Times New Roman" w:cs="Times New Roman"/>
          <w:sz w:val="24"/>
          <w:szCs w:val="24"/>
          <w:lang w:val="en-US"/>
        </w:rPr>
        <w:t xml:space="preserve">While the reality of planning and facilitating the focus groups didn’t always go according to plan, we were still able to adapt and update our strategy. Elkhart County ended up not being able to host a focus group for us, so we only conducted 2 focus groups in Bartholomew County and Orange County. This means we collected less data for the evaluation than we originally planned. Additionally, for both focus groups, we weren’t able to send the pre-survey to all registered participants a week before the focus group. For Bartholomew County, most of the participants registered only 2 days before the focus group took place. Similarly, for Orange County’s focus group, some participants registered the day before the focus group, and many just showed up without registering. The pre-surveys for both focus groups were sent out much later than we expected, which caused a delay in survey responses. This delay in responses meant not every participant was able to get the full $35 of gift cards at the focus group, and instead had to have the gift cards mailed to them. The participants from Bartholomew County seemed to </w:t>
      </w:r>
      <w:r w:rsidRPr="3B449B4C">
        <w:rPr>
          <w:rFonts w:ascii="Times New Roman" w:eastAsia="Times New Roman" w:hAnsi="Times New Roman" w:cs="Times New Roman"/>
          <w:sz w:val="24"/>
          <w:szCs w:val="24"/>
          <w:lang w:val="en-US"/>
        </w:rPr>
        <w:lastRenderedPageBreak/>
        <w:t xml:space="preserve">engage in much more discussion than those in Orange County, which led us to run short on time. The Bartholomew County focus group also started late due to late arrivals, getting kids to childcare, and people getting their food. We also ran short on time because we had to end the focus group very abruptly due to the kids returning from childcare a few minutes early. Fortunately, Tanya and I had labeled a few questions as optional in case we ran out of time, so we were prepared. Lastly, we tried the Zoom meeting with the video turned off to record the first focus group in Bartholomew County, but it unfortunately didn’t have great sound quality. Alison also found it very difficult to transcribe the entire discussion between participants, so we weren’t able to get a full transcript of this focus group. However, we adjusted slightly for the second focus group in Orange County and used both Zoom without the video as well as the Voice Memos app on my phone. The Voice Memos app seemed to pick up the sound much better, allowing us to get a complete transcript out of their discussion. </w:t>
      </w:r>
    </w:p>
    <w:p w14:paraId="1749D949" w14:textId="77777777" w:rsidR="000B5123" w:rsidRDefault="000B5123">
      <w:pPr>
        <w:spacing w:line="360" w:lineRule="auto"/>
        <w:rPr>
          <w:rFonts w:ascii="Times New Roman" w:eastAsia="Times New Roman" w:hAnsi="Times New Roman" w:cs="Times New Roman"/>
          <w:sz w:val="24"/>
          <w:szCs w:val="24"/>
        </w:rPr>
      </w:pPr>
    </w:p>
    <w:p w14:paraId="1749D94A" w14:textId="77777777" w:rsidR="000B5123" w:rsidRDefault="0059582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Participant Demographics and Pre-Survey Results </w:t>
      </w:r>
      <w:r>
        <w:rPr>
          <w:rFonts w:ascii="Times New Roman" w:eastAsia="Times New Roman" w:hAnsi="Times New Roman" w:cs="Times New Roman"/>
          <w:i/>
          <w:iCs/>
          <w:sz w:val="24"/>
          <w:szCs w:val="24"/>
        </w:rPr>
        <w:t>(See Figure 12)</w:t>
      </w:r>
    </w:p>
    <w:p w14:paraId="1749D94B"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There were a total of 18 participants who completed the pre-survey and attended the focus groups. 9 (50%) participants joined the Bartholomew County focus group, and the other 9 (50%) joined the Orange County focus group. Of these 18 participants, 6 (33.3%) were aged 26-35, 5 (27.8%) were aged 36-45, 3 (16.7%) were aged 46-54, 3 (16.7%) were 55+ years old, and 1 participant skipped this question. This group was also predominantly white females, as all 18 participants said they are white, and 15 (83.3%) are female, meaning there were only 3 (16.7%) who are male. As for their relationships with young children, they were prompted to select all that apply. It seems that 15 (83.33%) of the participants identified as a parent, 3 (16.7%) are step-parents, 2 (11.1%) are foster parents/guardians, 4 (22.2%) are grandparents, 7 (38.9%) are aunts/uncles, and 4 (22.2%) are teachers/caregivers. With regards to their employment status, 6 (33.3%) are employed full-time, 4 (22.2%) are employed part-time, 3 (16.7%) are out of work, and 4 (22.2%) are unable to work. One participant also selected “Other” and specified that they are retired. The majority of them also have household incomes below $50,000, with just 1 (5.6%) participant who has an annual household income above $50,000. 2 (11.1%) of the participants make less than $15,000, 3 (16.7%) make between $15,000-$24,999, 6 (33.3%) make $25,000-$34,000, and the remaining 6 (33.3%) make $35,000-$49,999 annually. </w:t>
      </w:r>
    </w:p>
    <w:p w14:paraId="1749D94C"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52AC3F06" w:rsidRPr="3B449B4C">
        <w:rPr>
          <w:rFonts w:ascii="Times New Roman" w:eastAsia="Times New Roman" w:hAnsi="Times New Roman" w:cs="Times New Roman"/>
          <w:sz w:val="24"/>
          <w:szCs w:val="24"/>
          <w:lang w:val="en-US"/>
        </w:rPr>
        <w:t>As for their tobacco use, 5 (27.8%) have never used tobacco products, 5 (27.8%) are former tobacco users, and 8 (44.4%) are current users. For the former users, we asked what age they started using tobacco products and what age they stopped. Many participants started in their late teenage years, aged 17, 18, and 19. However, there was some variety, as one participant started using tobacco when they were 12 years old, and another participant started when they were 21 years old. 4 out of the 5 participants who identify as former users indicated that they used to use tobacco products every day. 4 (80%) of them had also attempted to quit 2-4 times before officially quitting, and 1 (20%) attempted 5-7 times before quitting. They also pointed out that quitting cold turkey, support from friends/family, and nicotine replacement therapies were what helped them quit.</w:t>
      </w:r>
    </w:p>
    <w:p w14:paraId="1749D94D"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For current tobacco users, the ages at which they started using tobacco products were much lower. One participant started at age 9, another started at age 11, 4 participants started at ages 12-13, and one participant started at 17-18 years old. The majority of the current users started at much younger ages than the former users, leading me to believe it’s harder for someone to quit when they started using tobacco at a younger age. 7 (87.5%) of the current users say they use tobacco products every day, with only 1 (12.5%) participant who uses several days a week. Cigarettes and e-cigarettes/vapes were the most used tobacco products, with 8 (100%) of the current users indicating they use cigarettes, and 7 (87.5%) who use e-cigarettes/vapes. Every current tobacco user has tried to quit at least once, but 6 (75%) have tried quitting multiple times. </w:t>
      </w:r>
    </w:p>
    <w:p w14:paraId="1749D94E" w14:textId="77777777" w:rsidR="000B5123" w:rsidRDefault="000B5123">
      <w:pPr>
        <w:spacing w:line="360" w:lineRule="auto"/>
        <w:rPr>
          <w:rFonts w:ascii="Times New Roman" w:eastAsia="Times New Roman" w:hAnsi="Times New Roman" w:cs="Times New Roman"/>
          <w:sz w:val="24"/>
          <w:szCs w:val="24"/>
        </w:rPr>
      </w:pPr>
    </w:p>
    <w:p w14:paraId="1749D94F"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Focus Group Discussion Questions </w:t>
      </w:r>
      <w:r>
        <w:rPr>
          <w:rFonts w:ascii="Times New Roman" w:eastAsia="Times New Roman" w:hAnsi="Times New Roman" w:cs="Times New Roman"/>
          <w:i/>
          <w:iCs/>
          <w:sz w:val="24"/>
          <w:szCs w:val="24"/>
        </w:rPr>
        <w:t>(See Figures 13 &amp; 14)</w:t>
      </w:r>
    </w:p>
    <w:p w14:paraId="1749D950"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Before asking the participants to review our Breathe materials, we wanted to ask them questions to assess their overall attitudes and behaviors towards tobacco products. The Bartholomew County focus group was very open to discussion and was willing to talk about their personal stories, which provided us with many insightful comments. The participants in the Orange County focus group weren’t as open to discussion and provided far fewer personal stories, but still discussed very important topics. When asked what their thoughts are when they hear secondhand smoke, both focus groups had participants who pointed out how smoking tobacco indoors leaves a film or residue on things. Three participants from Bartholomew County talked about how their loved ones have been affected by secondhand smoke, which has led to their worsened health. When asked about the effects of tobacco, the majority of them brought up </w:t>
      </w:r>
      <w:r w:rsidR="52AC3F06" w:rsidRPr="3B449B4C">
        <w:rPr>
          <w:rFonts w:ascii="Times New Roman" w:eastAsia="Times New Roman" w:hAnsi="Times New Roman" w:cs="Times New Roman"/>
          <w:sz w:val="24"/>
          <w:szCs w:val="24"/>
          <w:lang w:val="en-US"/>
        </w:rPr>
        <w:lastRenderedPageBreak/>
        <w:t xml:space="preserve">how it impacts health, but only one participant pointed out how it has major financial impacts, too.  Multiple participants from each focus group discussed how tobacco use and addiction are generational. When growing up surrounded by tobacco users, it’s easy for a child to learn and pick up the habit in the future. We also asked them about the tobacco industry, and all of the responses were negative. A participant said, “They’ve been targeting people and kids for a long time, and they’re creative in how they do it,” and another participant stated the tobacco industry is just “trying to line their pockets.” Based on their responses, it’s safe to assume that the majority of the participants were at least somewhat aware of how the tobacco industry targets certain populations. Multiple participants also mentioned how the advertisement is targeted towards lower-income communities. They brought up specific instances where they see tobacco marketing the most, and said, “They have a lot of flashy lights that draw your attention to the store,” and “at the gas stations, where they say they have the lowest prices around.” </w:t>
      </w:r>
    </w:p>
    <w:p w14:paraId="1749D951" w14:textId="77777777" w:rsidR="000B5123" w:rsidRDefault="000B5123">
      <w:pPr>
        <w:spacing w:line="360" w:lineRule="auto"/>
        <w:rPr>
          <w:rFonts w:ascii="Times New Roman" w:eastAsia="Times New Roman" w:hAnsi="Times New Roman" w:cs="Times New Roman"/>
          <w:sz w:val="24"/>
          <w:szCs w:val="24"/>
        </w:rPr>
      </w:pPr>
    </w:p>
    <w:p w14:paraId="1749D952" w14:textId="77777777" w:rsidR="000B5123" w:rsidRDefault="0059582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Bartholomew County Focus Group Feedback </w:t>
      </w:r>
      <w:r>
        <w:rPr>
          <w:rFonts w:ascii="Times New Roman" w:eastAsia="Times New Roman" w:hAnsi="Times New Roman" w:cs="Times New Roman"/>
          <w:i/>
          <w:iCs/>
          <w:sz w:val="24"/>
          <w:szCs w:val="24"/>
        </w:rPr>
        <w:t>(See Figure 13)</w:t>
      </w:r>
    </w:p>
    <w:p w14:paraId="1749D953" w14:textId="66F80533" w:rsidR="000B5123" w:rsidRDefault="00AE01EB">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How Smoking/Vaping Affects Children </w:t>
      </w:r>
      <w:r w:rsidR="0059582A">
        <w:rPr>
          <w:rFonts w:ascii="Times New Roman" w:eastAsia="Times New Roman" w:hAnsi="Times New Roman" w:cs="Times New Roman"/>
          <w:sz w:val="24"/>
          <w:szCs w:val="24"/>
          <w:u w:val="single"/>
        </w:rPr>
        <w:t>Handout</w:t>
      </w:r>
      <w:r w:rsidR="00371AC4">
        <w:rPr>
          <w:rFonts w:ascii="Times New Roman" w:eastAsia="Times New Roman" w:hAnsi="Times New Roman" w:cs="Times New Roman"/>
          <w:sz w:val="24"/>
          <w:szCs w:val="24"/>
          <w:u w:val="single"/>
        </w:rPr>
        <w:t xml:space="preserve"> (</w:t>
      </w:r>
      <w:r w:rsidR="00371AC4" w:rsidRPr="00371AC4">
        <w:rPr>
          <w:rFonts w:ascii="Times New Roman" w:eastAsia="Times New Roman" w:hAnsi="Times New Roman" w:cs="Times New Roman"/>
          <w:sz w:val="24"/>
          <w:szCs w:val="24"/>
          <w:u w:val="single"/>
        </w:rPr>
        <w:t>https://justbreathein.org/wp-content/uploads/2026/02/2026-Parent-Handouts-Combined-English_Part5.pdf</w:t>
      </w:r>
      <w:r w:rsidR="00371AC4">
        <w:rPr>
          <w:rFonts w:ascii="Times New Roman" w:eastAsia="Times New Roman" w:hAnsi="Times New Roman" w:cs="Times New Roman"/>
          <w:sz w:val="24"/>
          <w:szCs w:val="24"/>
          <w:u w:val="single"/>
        </w:rPr>
        <w:t>)</w:t>
      </w:r>
      <w:r w:rsidR="0059582A">
        <w:rPr>
          <w:rFonts w:ascii="Times New Roman" w:eastAsia="Times New Roman" w:hAnsi="Times New Roman" w:cs="Times New Roman"/>
          <w:sz w:val="24"/>
          <w:szCs w:val="24"/>
          <w:u w:val="single"/>
        </w:rPr>
        <w:t>:</w:t>
      </w:r>
    </w:p>
    <w:p w14:paraId="1749D954" w14:textId="734D7CCD"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As stated in the Initial Plans vs. Reality section, we weren’t able to get a full transcript of the Bartholomew County focus group and will instead be using the notes Alison took during the focus group. Th</w:t>
      </w:r>
      <w:r w:rsidR="00AA1E7D" w:rsidRPr="3B449B4C">
        <w:rPr>
          <w:rFonts w:ascii="Times New Roman" w:eastAsia="Times New Roman" w:hAnsi="Times New Roman" w:cs="Times New Roman"/>
          <w:sz w:val="24"/>
          <w:szCs w:val="24"/>
          <w:lang w:val="en-US"/>
        </w:rPr>
        <w:t>e How Smoking/Vaping Affects Children</w:t>
      </w:r>
      <w:r w:rsidR="52AC3F06" w:rsidRPr="3B449B4C">
        <w:rPr>
          <w:rFonts w:ascii="Times New Roman" w:eastAsia="Times New Roman" w:hAnsi="Times New Roman" w:cs="Times New Roman"/>
          <w:sz w:val="24"/>
          <w:szCs w:val="24"/>
          <w:lang w:val="en-US"/>
        </w:rPr>
        <w:t xml:space="preserve"> handout was handed to them all to review for about 30 seconds before we continued asking them questions. It included topics surrounding the effects tobacco has on young children and how using tobacco products while pregnant can cause multiple long-term health effects on the child. When asked about their first impression of the flyer, many of them mentioned how the information on the flyer reminded them of their own personal stories. For example, one participant mentioned how if their parents use tobacco, the kids will likely follow. This led to another participant explaining how both of their parents smoked tobacco around them for their entire life, making them feel like they had to do it too once they got to a certain age. They also talked about how smoking inside causes the walls to get yellow, one participant specifically saying their kids are constantly sick because the previous resident smoked inside constantly, leaving the walls yellow and residue bleeding through the paint. In the next question, when asked about what appeals to them, they talked about how it’s true that children will crawl around and unknowingly play in the leftover residue </w:t>
      </w:r>
      <w:r w:rsidR="52AC3F06" w:rsidRPr="3B449B4C">
        <w:rPr>
          <w:rFonts w:ascii="Times New Roman" w:eastAsia="Times New Roman" w:hAnsi="Times New Roman" w:cs="Times New Roman"/>
          <w:sz w:val="24"/>
          <w:szCs w:val="24"/>
          <w:lang w:val="en-US"/>
        </w:rPr>
        <w:lastRenderedPageBreak/>
        <w:t>on the walls, floors, furniture, and clothes. Aside from this, the participants didn’t give much feedback on the handout, and Alison wasn’t able to type their responses for all of the questions covering this piece of Breathe material.</w:t>
      </w:r>
    </w:p>
    <w:p w14:paraId="1749D955" w14:textId="0AA6387A" w:rsidR="000B5123" w:rsidRDefault="00D477FD">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Cost of Smoking </w:t>
      </w:r>
      <w:r w:rsidR="0059582A">
        <w:rPr>
          <w:rFonts w:ascii="Times New Roman" w:eastAsia="Times New Roman" w:hAnsi="Times New Roman" w:cs="Times New Roman"/>
          <w:sz w:val="24"/>
          <w:szCs w:val="24"/>
          <w:u w:val="single"/>
        </w:rPr>
        <w:t>Worksheet</w:t>
      </w:r>
      <w:r>
        <w:rPr>
          <w:rFonts w:ascii="Times New Roman" w:eastAsia="Times New Roman" w:hAnsi="Times New Roman" w:cs="Times New Roman"/>
          <w:sz w:val="24"/>
          <w:szCs w:val="24"/>
          <w:u w:val="single"/>
        </w:rPr>
        <w:t xml:space="preserve"> (</w:t>
      </w:r>
      <w:r w:rsidRPr="00D477FD">
        <w:rPr>
          <w:rFonts w:ascii="Times New Roman" w:eastAsia="Times New Roman" w:hAnsi="Times New Roman" w:cs="Times New Roman"/>
          <w:sz w:val="24"/>
          <w:szCs w:val="24"/>
          <w:u w:val="single"/>
        </w:rPr>
        <w:t>https://justbreathein.org/wp-content/uploads/2026/02/Breathe-Journal-Pages-The-Cost-of-Smoking.pdf</w:t>
      </w:r>
      <w:r>
        <w:rPr>
          <w:rFonts w:ascii="Times New Roman" w:eastAsia="Times New Roman" w:hAnsi="Times New Roman" w:cs="Times New Roman"/>
          <w:sz w:val="24"/>
          <w:szCs w:val="24"/>
          <w:u w:val="single"/>
        </w:rPr>
        <w:t>)</w:t>
      </w:r>
      <w:r w:rsidR="0059582A">
        <w:rPr>
          <w:rFonts w:ascii="Times New Roman" w:eastAsia="Times New Roman" w:hAnsi="Times New Roman" w:cs="Times New Roman"/>
          <w:sz w:val="24"/>
          <w:szCs w:val="24"/>
          <w:u w:val="single"/>
        </w:rPr>
        <w:t>:</w:t>
      </w:r>
    </w:p>
    <w:p w14:paraId="1749D956" w14:textId="7444E869"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Next, the participants were handed </w:t>
      </w:r>
      <w:r w:rsidR="43AFE56A" w:rsidRPr="3B449B4C">
        <w:rPr>
          <w:rFonts w:ascii="Times New Roman" w:eastAsia="Times New Roman" w:hAnsi="Times New Roman" w:cs="Times New Roman"/>
          <w:sz w:val="24"/>
          <w:szCs w:val="24"/>
          <w:lang w:val="en-US"/>
        </w:rPr>
        <w:t>the Cost of Smoking</w:t>
      </w:r>
      <w:r w:rsidR="52AC3F06" w:rsidRPr="3B449B4C">
        <w:rPr>
          <w:rFonts w:ascii="Times New Roman" w:eastAsia="Times New Roman" w:hAnsi="Times New Roman" w:cs="Times New Roman"/>
          <w:sz w:val="24"/>
          <w:szCs w:val="24"/>
          <w:lang w:val="en-US"/>
        </w:rPr>
        <w:t xml:space="preserve"> worksheet aimed at informing the reader of how much money tobacco users spend annually on tobacco, and included an activity for the reader to complete. For this focus group, we didn’t ask them to complete the worksheet. Instead, we asked them to review it and give us feedback on what they believe could be improved or changed. Unfortunately, Alison wasn’t able to write many of the responses to our questions regarding this worksheet, but we still have some of their discussion written down. The first thing they all noticed was the graphic displaying how much money tobacco users could save annually if they quit smoking, especially if they’re frequent users. One participant commented, “I could buy a Porsche if I quit smoking,” with another one bringing up how they could go on a trip at the end of every year with that money. Then, they started discussing the prices of cigarettes and how much they have risen since they were kids, with one participant saying it makes them sad thinking about all the money they’ve wasted. I thought that was particularly interesting, because that’s almost the effect we want the reader to feel. We don’t want to make them feel ashamed for using tobacco products, but showing them those numbers seemed to cause a very shocked reaction from all of the participants. One comment about the design of the worksheet was that the numbers displaying the average annual amount spent could be a different color to bolden it and make it stand out more. Another participant chimed in, explaining how bolding the cost and making it bigger would draw more attention and make it more appealing to them. </w:t>
      </w:r>
    </w:p>
    <w:p w14:paraId="1749D957" w14:textId="77777777" w:rsidR="000B5123" w:rsidRDefault="000B5123">
      <w:pPr>
        <w:spacing w:line="360" w:lineRule="auto"/>
        <w:rPr>
          <w:rFonts w:ascii="Times New Roman" w:eastAsia="Times New Roman" w:hAnsi="Times New Roman" w:cs="Times New Roman"/>
          <w:sz w:val="24"/>
          <w:szCs w:val="24"/>
        </w:rPr>
      </w:pPr>
    </w:p>
    <w:p w14:paraId="1749D958"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Orange County Focus Group Feedback </w:t>
      </w:r>
      <w:r>
        <w:rPr>
          <w:rFonts w:ascii="Times New Roman" w:eastAsia="Times New Roman" w:hAnsi="Times New Roman" w:cs="Times New Roman"/>
          <w:i/>
          <w:iCs/>
          <w:sz w:val="24"/>
          <w:szCs w:val="24"/>
        </w:rPr>
        <w:t>(See Figure 14)</w:t>
      </w:r>
    </w:p>
    <w:p w14:paraId="1749D959" w14:textId="7083EA56" w:rsidR="000B5123" w:rsidRDefault="00BC05A8">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How Smoking/Vaping Affects Children </w:t>
      </w:r>
      <w:r w:rsidR="0059582A">
        <w:rPr>
          <w:rFonts w:ascii="Times New Roman" w:eastAsia="Times New Roman" w:hAnsi="Times New Roman" w:cs="Times New Roman"/>
          <w:sz w:val="24"/>
          <w:szCs w:val="24"/>
          <w:u w:val="single"/>
        </w:rPr>
        <w:t>Handout:</w:t>
      </w:r>
    </w:p>
    <w:p w14:paraId="1749D95A"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We were able to obtain a complete transcript of the Orange County focus group, allowing us to gather more data from their discussion. The handout given to the Orange County focus group is the same handout we had the Bartholomew County focus group review. One participant seemed to be really hung up on the picture of a baby used on the handout, stating that it was the first thing she noticed and that it was appealing to her. Another participant said she believes this </w:t>
      </w:r>
      <w:r w:rsidR="52AC3F06" w:rsidRPr="3B449B4C">
        <w:rPr>
          <w:rFonts w:ascii="Times New Roman" w:eastAsia="Times New Roman" w:hAnsi="Times New Roman" w:cs="Times New Roman"/>
          <w:sz w:val="24"/>
          <w:szCs w:val="24"/>
          <w:lang w:val="en-US"/>
        </w:rPr>
        <w:lastRenderedPageBreak/>
        <w:t>handout is “geared towards someone with a very, very young infant or a child who’s licking things, and probably on the floor excessively.” They said the format and colors were very easy to read, but that they’d maybe add more statistics to it, since seeing the numbers can often make people trust the information more. Multiple of them also mentioned how having 2 QR codes could be a bit confusing, and one specifically stated, “Am I the only poor one here?” because their phone isn’t able to scan QR codes. However, it seemed everyone except for that one participant was able to and knew how to use the QR code.</w:t>
      </w:r>
    </w:p>
    <w:p w14:paraId="1749D95B" w14:textId="38C8EBB1" w:rsidR="000B5123" w:rsidRDefault="00E1416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How to Talk to Others Who Smoke Around You</w:t>
      </w:r>
      <w:r w:rsidR="00C11523">
        <w:rPr>
          <w:rFonts w:ascii="Times New Roman" w:eastAsia="Times New Roman" w:hAnsi="Times New Roman" w:cs="Times New Roman"/>
          <w:sz w:val="24"/>
          <w:szCs w:val="24"/>
          <w:u w:val="single"/>
        </w:rPr>
        <w:t xml:space="preserve"> </w:t>
      </w:r>
      <w:r w:rsidR="0059582A">
        <w:rPr>
          <w:rFonts w:ascii="Times New Roman" w:eastAsia="Times New Roman" w:hAnsi="Times New Roman" w:cs="Times New Roman"/>
          <w:sz w:val="24"/>
          <w:szCs w:val="24"/>
          <w:u w:val="single"/>
        </w:rPr>
        <w:t>Worksheet</w:t>
      </w:r>
      <w:r>
        <w:rPr>
          <w:rFonts w:ascii="Times New Roman" w:eastAsia="Times New Roman" w:hAnsi="Times New Roman" w:cs="Times New Roman"/>
          <w:sz w:val="24"/>
          <w:szCs w:val="24"/>
          <w:u w:val="single"/>
        </w:rPr>
        <w:t xml:space="preserve"> (</w:t>
      </w:r>
      <w:r w:rsidRPr="00E1416A">
        <w:rPr>
          <w:rFonts w:ascii="Times New Roman" w:eastAsia="Times New Roman" w:hAnsi="Times New Roman" w:cs="Times New Roman"/>
          <w:sz w:val="24"/>
          <w:szCs w:val="24"/>
          <w:u w:val="single"/>
        </w:rPr>
        <w:t>https://justbreathein.org/wp-content/uploads/2022/02/09.-How-to-Talk-to-Others-Who-Smoke-Around-You.pdf</w:t>
      </w:r>
      <w:r>
        <w:rPr>
          <w:rFonts w:ascii="Times New Roman" w:eastAsia="Times New Roman" w:hAnsi="Times New Roman" w:cs="Times New Roman"/>
          <w:sz w:val="24"/>
          <w:szCs w:val="24"/>
          <w:u w:val="single"/>
        </w:rPr>
        <w:t>)</w:t>
      </w:r>
      <w:r w:rsidR="0059582A">
        <w:rPr>
          <w:rFonts w:ascii="Times New Roman" w:eastAsia="Times New Roman" w:hAnsi="Times New Roman" w:cs="Times New Roman"/>
          <w:sz w:val="24"/>
          <w:szCs w:val="24"/>
          <w:u w:val="single"/>
        </w:rPr>
        <w:t>:</w:t>
      </w:r>
    </w:p>
    <w:p w14:paraId="1749D95C" w14:textId="2ABB59BB"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The worksheet we had them review was not the same as the worksheet we had the Bartholomew County focus group review. It was still an informational worksheet with an activity, but once again, we didn’t ask them to complete the activity. Multiple participants pointed out the lung graphic</w:t>
      </w:r>
      <w:r w:rsidR="6A089EFE" w:rsidRPr="3B449B4C">
        <w:rPr>
          <w:rFonts w:ascii="Times New Roman" w:eastAsia="Times New Roman" w:hAnsi="Times New Roman" w:cs="Times New Roman"/>
          <w:sz w:val="24"/>
          <w:szCs w:val="24"/>
          <w:lang w:val="en-US"/>
        </w:rPr>
        <w:t xml:space="preserve"> (Breathe logo)</w:t>
      </w:r>
      <w:r w:rsidR="52AC3F06" w:rsidRPr="3B449B4C">
        <w:rPr>
          <w:rFonts w:ascii="Times New Roman" w:eastAsia="Times New Roman" w:hAnsi="Times New Roman" w:cs="Times New Roman"/>
          <w:sz w:val="24"/>
          <w:szCs w:val="24"/>
          <w:lang w:val="en-US"/>
        </w:rPr>
        <w:t xml:space="preserve"> on the bottom and said they liked that, and that the Quit Now Indiana information was a good addition. They seemed to have really liked this worksheet and the information provided, with one of them stating, “It's very good information, and it's got everything right to the point.” However, they got confused about what age group this worksheet was targeted towards. They said the information and writing sound like it's targeted towards a high schooler or adult, but the </w:t>
      </w:r>
      <w:r w:rsidR="5D9B132B" w:rsidRPr="3B449B4C">
        <w:rPr>
          <w:rFonts w:ascii="Times New Roman" w:eastAsia="Times New Roman" w:hAnsi="Times New Roman" w:cs="Times New Roman"/>
          <w:sz w:val="24"/>
          <w:szCs w:val="24"/>
          <w:lang w:val="en-US"/>
        </w:rPr>
        <w:t xml:space="preserve">spot to put your </w:t>
      </w:r>
      <w:r w:rsidR="52AC3F06" w:rsidRPr="3B449B4C">
        <w:rPr>
          <w:rFonts w:ascii="Times New Roman" w:eastAsia="Times New Roman" w:hAnsi="Times New Roman" w:cs="Times New Roman"/>
          <w:sz w:val="24"/>
          <w:szCs w:val="24"/>
          <w:lang w:val="en-US"/>
        </w:rPr>
        <w:t xml:space="preserve">name and drawing activity make it seem like more of an assignment for young children. One participant also pointed out how “the picture of the mom looks unapproachable” and “wouldn’t want to talk to her, she looks mean.” This may have been due to the lower quality picture since Tanya’s printer was having issues, but that’s definitely something to keep in mind. </w:t>
      </w:r>
    </w:p>
    <w:p w14:paraId="1749D95D" w14:textId="77777777" w:rsidR="000B5123" w:rsidRDefault="000B5123">
      <w:pPr>
        <w:spacing w:line="360" w:lineRule="auto"/>
        <w:rPr>
          <w:rFonts w:ascii="Times New Roman" w:eastAsia="Times New Roman" w:hAnsi="Times New Roman" w:cs="Times New Roman"/>
          <w:sz w:val="24"/>
          <w:szCs w:val="24"/>
        </w:rPr>
      </w:pPr>
    </w:p>
    <w:p w14:paraId="1749D95E"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Bartholomew County Post-Survey Results </w:t>
      </w:r>
      <w:r>
        <w:rPr>
          <w:rFonts w:ascii="Times New Roman" w:eastAsia="Times New Roman" w:hAnsi="Times New Roman" w:cs="Times New Roman"/>
          <w:i/>
          <w:iCs/>
          <w:sz w:val="24"/>
          <w:szCs w:val="24"/>
        </w:rPr>
        <w:t>(See Figure 15)</w:t>
      </w:r>
    </w:p>
    <w:p w14:paraId="1749D95F" w14:textId="3433E7B7" w:rsidR="000B5123" w:rsidRDefault="0059582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Thirdhand Smoking Video</w:t>
      </w:r>
      <w:r w:rsidR="006D23A1">
        <w:rPr>
          <w:rFonts w:ascii="Times New Roman" w:eastAsia="Times New Roman" w:hAnsi="Times New Roman" w:cs="Times New Roman"/>
          <w:sz w:val="24"/>
          <w:szCs w:val="24"/>
          <w:u w:val="single"/>
        </w:rPr>
        <w:t xml:space="preserve"> (</w:t>
      </w:r>
      <w:r w:rsidR="006D23A1" w:rsidRPr="006D23A1">
        <w:rPr>
          <w:rFonts w:ascii="Times New Roman" w:eastAsia="Times New Roman" w:hAnsi="Times New Roman" w:cs="Times New Roman"/>
          <w:sz w:val="24"/>
          <w:szCs w:val="24"/>
          <w:u w:val="single"/>
        </w:rPr>
        <w:t>https://vimeo.com/showcase/5229425?video=264111624</w:t>
      </w:r>
      <w:r w:rsidR="0041752B">
        <w:rPr>
          <w:rFonts w:ascii="Times New Roman" w:eastAsia="Times New Roman" w:hAnsi="Times New Roman" w:cs="Times New Roman"/>
          <w:sz w:val="24"/>
          <w:szCs w:val="24"/>
          <w:u w:val="single"/>
        </w:rPr>
        <w:t>)</w:t>
      </w:r>
    </w:p>
    <w:p w14:paraId="1749D960"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For the post-survey, we had the Bartholomew County participants review 2 educational videos from Breathe and share their feedback. Additionally, only 8 out of the 9 participants completed the post-survey. For the thirdhand smoking video, the majority of the participants didn’t comment on their first impression of the video. However, 7 (87.5%) of the participants agreed or strongly agreed that this video was appealing to them, leaving 1 (12.5%) participant who felt neutral about it. Two responses stated that they believed the video was informative and </w:t>
      </w:r>
      <w:r w:rsidR="52AC3F06" w:rsidRPr="3B449B4C">
        <w:rPr>
          <w:rFonts w:ascii="Times New Roman" w:eastAsia="Times New Roman" w:hAnsi="Times New Roman" w:cs="Times New Roman"/>
          <w:sz w:val="24"/>
          <w:szCs w:val="24"/>
          <w:lang w:val="en-US"/>
        </w:rPr>
        <w:lastRenderedPageBreak/>
        <w:t xml:space="preserve">relatable, with another response stating that it’s short and sweet. 1 (12.5%) participant stated that they felt the video was confusing, but didn’t leave a comment explaining why, but the other 7 (87.5%) participants said it was not confusing to them. Referring to whether or not this video would be helpful to people who don’t use tobacco, 6 (75%) participants agreed, and 2 (25%) remained neutral. 3 (37.5%) participants commented that they were unaware of the extent of thirdhand smoke. One participant commented that the video made her think of toys, food, furniture, and other household items that get residue on them from smoking inside, and how it was visualized very well. </w:t>
      </w:r>
    </w:p>
    <w:p w14:paraId="1749D961" w14:textId="31DCB46A" w:rsidR="000B5123" w:rsidRDefault="0059582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Happy vs. Sad Lungs Video</w:t>
      </w:r>
      <w:r w:rsidR="00C305C6">
        <w:rPr>
          <w:rFonts w:ascii="Times New Roman" w:eastAsia="Times New Roman" w:hAnsi="Times New Roman" w:cs="Times New Roman"/>
          <w:sz w:val="24"/>
          <w:szCs w:val="24"/>
          <w:u w:val="single"/>
        </w:rPr>
        <w:t xml:space="preserve"> (</w:t>
      </w:r>
      <w:r w:rsidR="00C305C6" w:rsidRPr="00C305C6">
        <w:rPr>
          <w:rFonts w:ascii="Times New Roman" w:eastAsia="Times New Roman" w:hAnsi="Times New Roman" w:cs="Times New Roman"/>
          <w:sz w:val="24"/>
          <w:szCs w:val="24"/>
          <w:u w:val="single"/>
        </w:rPr>
        <w:t>https://vimeo.com/showcase/6865762?video=489140109</w:t>
      </w:r>
      <w:r w:rsidR="00C305C6">
        <w:rPr>
          <w:rFonts w:ascii="Times New Roman" w:eastAsia="Times New Roman" w:hAnsi="Times New Roman" w:cs="Times New Roman"/>
          <w:sz w:val="24"/>
          <w:szCs w:val="24"/>
          <w:u w:val="single"/>
        </w:rPr>
        <w:t>)</w:t>
      </w:r>
    </w:p>
    <w:p w14:paraId="1749D962"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The second education video linked in the post-survey aimed at showing the effect smoking has on the lungs. I was surprised to see that every single participant left a comment describing their first impression after watching this video. Many of the comments mentioned how it made them think about their own lungs and that it’s a great learning tool for children. 7 (87.5%) participants agreed that the video was appealing to them, and 1 (12.5%) remained neutral. One participant responded, saying they felt the video was confusing or unclear, but didn’t leave a comment as to why they felt that way. When asked if they thought the video had surprising or unexpected information, 4 (50%) said they were neutral, 1 (12.5%) strongly agreed, 2 (25%) agreed, and 1 (12.5%) participant disagreed. However, they all seemed to react more positively towards the video, with 7 (87.5%) stating they’d be somewhat or extremely likely to do the activity at home with their children. One participant did comment that this activity might not be feasible for some families, but didn’t elaborate further. Another participant said the video “seemed more instructional than informative,” but that they can also see it being utilized in different ways to educate on healthy vs. unhealthy lungs. </w:t>
      </w:r>
    </w:p>
    <w:p w14:paraId="1749D963" w14:textId="77777777" w:rsidR="000B5123" w:rsidRDefault="000B5123">
      <w:pPr>
        <w:spacing w:line="360" w:lineRule="auto"/>
        <w:rPr>
          <w:rFonts w:ascii="Times New Roman" w:eastAsia="Times New Roman" w:hAnsi="Times New Roman" w:cs="Times New Roman"/>
          <w:sz w:val="24"/>
          <w:szCs w:val="24"/>
        </w:rPr>
      </w:pPr>
    </w:p>
    <w:p w14:paraId="1749D964"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Orange County Post-Survey Results</w:t>
      </w:r>
      <w:r>
        <w:rPr>
          <w:rFonts w:ascii="Times New Roman" w:eastAsia="Times New Roman" w:hAnsi="Times New Roman" w:cs="Times New Roman"/>
          <w:i/>
          <w:iCs/>
          <w:sz w:val="24"/>
          <w:szCs w:val="24"/>
        </w:rPr>
        <w:t xml:space="preserve"> (See Figure 16)</w:t>
      </w:r>
    </w:p>
    <w:p w14:paraId="1749D965" w14:textId="4BC6AA24" w:rsidR="000B5123" w:rsidRDefault="0059582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Parents/Caregivers Webpage</w:t>
      </w:r>
      <w:r w:rsidR="00EF7AA2">
        <w:rPr>
          <w:rFonts w:ascii="Times New Roman" w:eastAsia="Times New Roman" w:hAnsi="Times New Roman" w:cs="Times New Roman"/>
          <w:sz w:val="24"/>
          <w:szCs w:val="24"/>
          <w:u w:val="single"/>
        </w:rPr>
        <w:t xml:space="preserve"> (</w:t>
      </w:r>
      <w:r w:rsidR="00EF7AA2" w:rsidRPr="00EF7AA2">
        <w:rPr>
          <w:rFonts w:ascii="Times New Roman" w:eastAsia="Times New Roman" w:hAnsi="Times New Roman" w:cs="Times New Roman"/>
          <w:sz w:val="24"/>
          <w:szCs w:val="24"/>
          <w:u w:val="single"/>
        </w:rPr>
        <w:t>https://justbreathein.org/for-parents/</w:t>
      </w:r>
      <w:r w:rsidR="00EF7AA2">
        <w:rPr>
          <w:rFonts w:ascii="Times New Roman" w:eastAsia="Times New Roman" w:hAnsi="Times New Roman" w:cs="Times New Roman"/>
          <w:sz w:val="24"/>
          <w:szCs w:val="24"/>
          <w:u w:val="single"/>
        </w:rPr>
        <w:t>)</w:t>
      </w:r>
    </w:p>
    <w:p w14:paraId="1749D966" w14:textId="469AF42A"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Unlike the post-survey for Bartholomew County, Tanya decided to have the</w:t>
      </w:r>
      <w:r w:rsidR="405D4024" w:rsidRPr="3B449B4C">
        <w:rPr>
          <w:rFonts w:ascii="Times New Roman" w:eastAsia="Times New Roman" w:hAnsi="Times New Roman" w:cs="Times New Roman"/>
          <w:sz w:val="24"/>
          <w:szCs w:val="24"/>
          <w:lang w:val="en-US"/>
        </w:rPr>
        <w:t xml:space="preserve"> Orange County participants</w:t>
      </w:r>
      <w:r w:rsidR="52AC3F06" w:rsidRPr="3B449B4C">
        <w:rPr>
          <w:rFonts w:ascii="Times New Roman" w:eastAsia="Times New Roman" w:hAnsi="Times New Roman" w:cs="Times New Roman"/>
          <w:sz w:val="24"/>
          <w:szCs w:val="24"/>
          <w:lang w:val="en-US"/>
        </w:rPr>
        <w:t xml:space="preserve"> review the newest webpage on the Breathe website. We were also able to get all 9 participants to complete the post-survey. The first impressions of the webpage all seem to be very positive, with many participants emphasizing that it’s well-organized and easy to navigate. 7 (77.8%) of the participants said they agree or strongly agree that the webpage was </w:t>
      </w:r>
      <w:r w:rsidR="52AC3F06" w:rsidRPr="3B449B4C">
        <w:rPr>
          <w:rFonts w:ascii="Times New Roman" w:eastAsia="Times New Roman" w:hAnsi="Times New Roman" w:cs="Times New Roman"/>
          <w:sz w:val="24"/>
          <w:szCs w:val="24"/>
          <w:lang w:val="en-US"/>
        </w:rPr>
        <w:lastRenderedPageBreak/>
        <w:t>appealing to them, and the other 2 (22.2%) remained neutral. When asked if they found the webpage confusing or unclear, 8 (88.9%) participants disagreed, and 1 (11.1%) remained neutral. 6 (66.7%) participants responded saying they agree or strongly agree that this webpage would be helpful to both tobacco users and non-tobacco users, and 3 (33.3%) remained neutral. They were also asked to indicate which topic on the webpage they’d go to. The Secondhand Smoke and Thirdhand Smoke sections were chosen the most by the participants, where 8 (88.9%) of the participants said they’re likely to click on each of these. There was also a great amount of feedback given on ways to change or add to this webpage, with 4 (44.4%) stating they wouldn’t change anything, and the other 5 (55.6%) stating what they would change.</w:t>
      </w:r>
    </w:p>
    <w:p w14:paraId="1749D967" w14:textId="77777777" w:rsidR="000B5123" w:rsidRDefault="0059582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Pregnancy and Quitting Webpages</w:t>
      </w:r>
    </w:p>
    <w:p w14:paraId="1749D968"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The participants had the option to choose between the topics of pregnancy or quitting. 5 (55.6%) decided to review the Pregnancy webpage, and the other 4 (44.4%) decided to review the Quitting webpage. Many of the responses were very positive, complimenting the colors and organization, but many comments also said there was a lot of information. This might be due to the device they were completing the survey on, as opening the webpage on a phone will look a lot different than a laptop. 5 (55.6%) participants stated that the webpage appealed to them, 3 (33.3%) remained neutral, and 1 (11.1%) participant said it wasn’t appealing to them. However, no one found the webpages confusing or unclear, meaning everything is organized and labeled clearly. 6 (66.7%) participants agree that the webpage would be helpful to parents/caregivers who don’t use tobacco, but they think it would be more helpful for parents/caregivers who do use tobacco. Additionally, when asked for feedback on the webpages, the Pregnancy webpage had far less feedback than the Quitting webpage. Both webpages had received comments about the QR codes, but the Pregnancy webpage didn’t have any other feedback. The Quitting Webpage has a few comments discussing possible edits or additions that could be made, such as more information on Quit Now Indiana or more statistics.</w:t>
      </w:r>
    </w:p>
    <w:p w14:paraId="1749D969" w14:textId="77777777" w:rsidR="000B5123" w:rsidRDefault="000B5123">
      <w:pPr>
        <w:spacing w:line="360" w:lineRule="auto"/>
        <w:rPr>
          <w:rFonts w:ascii="Times New Roman" w:eastAsia="Times New Roman" w:hAnsi="Times New Roman" w:cs="Times New Roman"/>
          <w:sz w:val="24"/>
          <w:szCs w:val="24"/>
        </w:rPr>
      </w:pPr>
    </w:p>
    <w:p w14:paraId="1749D96A"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Recommendations Based on Participants Feedback</w:t>
      </w:r>
    </w:p>
    <w:p w14:paraId="1749D96B" w14:textId="77777777" w:rsidR="000B5123" w:rsidRDefault="0059582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Bartholomew County Focus Group Handout and Worksheet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(See Figure 13)</w:t>
      </w:r>
    </w:p>
    <w:p w14:paraId="1749D96C"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Since there was </w:t>
      </w:r>
      <w:commentRangeStart w:id="0"/>
      <w:r w:rsidR="52AC3F06" w:rsidRPr="3B449B4C">
        <w:rPr>
          <w:rFonts w:ascii="Times New Roman" w:eastAsia="Times New Roman" w:hAnsi="Times New Roman" w:cs="Times New Roman"/>
          <w:sz w:val="24"/>
          <w:szCs w:val="24"/>
          <w:lang w:val="en-US"/>
        </w:rPr>
        <w:t>no full transcript</w:t>
      </w:r>
      <w:commentRangeEnd w:id="0"/>
      <w:r w:rsidRPr="3B449B4C">
        <w:rPr>
          <w:rStyle w:val="CommentReference"/>
          <w:rFonts w:ascii="Times New Roman" w:eastAsia="Times New Roman" w:hAnsi="Times New Roman" w:cs="Times New Roman"/>
          <w:sz w:val="24"/>
          <w:szCs w:val="24"/>
          <w:lang w:val="en-US"/>
        </w:rPr>
        <w:commentReference w:id="0"/>
      </w:r>
      <w:r w:rsidR="52AC3F06" w:rsidRPr="3B449B4C">
        <w:rPr>
          <w:rFonts w:ascii="Times New Roman" w:eastAsia="Times New Roman" w:hAnsi="Times New Roman" w:cs="Times New Roman"/>
          <w:sz w:val="24"/>
          <w:szCs w:val="24"/>
          <w:lang w:val="en-US"/>
        </w:rPr>
        <w:t xml:space="preserve"> of the Bartholomew County focus group, we weren’t able to document all of their responses throughout the discussion. Keeping that in mind, there were no recorded suggestions for the handout, but there were a few suggestions for the </w:t>
      </w:r>
      <w:r w:rsidR="52AC3F06" w:rsidRPr="3B449B4C">
        <w:rPr>
          <w:rFonts w:ascii="Times New Roman" w:eastAsia="Times New Roman" w:hAnsi="Times New Roman" w:cs="Times New Roman"/>
          <w:sz w:val="24"/>
          <w:szCs w:val="24"/>
          <w:lang w:val="en-US"/>
        </w:rPr>
        <w:lastRenderedPageBreak/>
        <w:t>worksheet. This worksheet brought out stronger reactions, some people were shocked, and some seemed disappointed, thinking about the amount of money they’ve spent on tobacco products. Multiple participants brought up making the annual cost a different color, increasing font size, or bolding it to emphasize and help audiences gauge the financial impact tobacco addictions have. One participant added a comment in the post-survey and discussed how adding a component to the worksheet that shows “X amount of dollars saved from quitting is equal to ‘said vacay’ or a ‘certain vehicle’ or 15 iPhones.” This is a very strong recommendation because it’ll help the readers understand and better imagine how much money they could be saving or how much money they’ve spent.</w:t>
      </w:r>
    </w:p>
    <w:p w14:paraId="1749D96D" w14:textId="77777777" w:rsidR="000B5123" w:rsidRDefault="0059582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Bartholomew County Post-Survey Videos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(See Figure 15)</w:t>
      </w:r>
    </w:p>
    <w:p w14:paraId="1749D96E"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The post-survey had much more feedback and comments about the materials than the focus group for Bartholomew County. Before any of the videos were watched, one participant commented on how they didn’t know vaping was considered secondhand smoke exposure and how it is commonly marketed as a healthier option to cigarettes. Providing more information on vaping and e-cigarette use regarding secondhand smoke could be very helpful. For the Thirdhand Smoke video, one person suggested replacing the pictures with real photos, but there was no other feedback given. On the contrary, one participant left a couple of comments voicing concerns about the Happy vs. Sad Lungs video. They were worried about whether or not the activity is feasible for some families, and said it seems like it would be done in a school setting, instead. That same participant also stated, “It seemed more instructional than informative,” and suggested using a children's app to conduct the activity.</w:t>
      </w:r>
    </w:p>
    <w:p w14:paraId="1749D96F" w14:textId="77777777" w:rsidR="000B5123" w:rsidRDefault="0059582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Orange County Focus Group Handout and Worksheet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(See Figure 14)</w:t>
      </w:r>
    </w:p>
    <w:p w14:paraId="1749D970"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This focus group had a full transcript, so we were able to document all of their suggestions and feedback for the handout and worksheet. For the handout, one participant said adding more statistics could be beneficial for the readers, since many people find statistics more reliable. They also stated that having 2 QR codes could be confusing to some, and one participant didn’t have a phone that was capable of scanning QR codes. I find QR codes very helpful, and all the other 8 participants knew how to and were capable of scanning them with their phones. I think it would still be helpful to have QR codes available, however, adding a section or sentence pointing to contact information to contact with questions and concerns allows for more availability of resources for those who can’t use QR codes. Another participant also </w:t>
      </w:r>
      <w:r w:rsidR="52AC3F06" w:rsidRPr="3B449B4C">
        <w:rPr>
          <w:rFonts w:ascii="Times New Roman" w:eastAsia="Times New Roman" w:hAnsi="Times New Roman" w:cs="Times New Roman"/>
          <w:sz w:val="24"/>
          <w:szCs w:val="24"/>
          <w:lang w:val="en-US"/>
        </w:rPr>
        <w:lastRenderedPageBreak/>
        <w:t>brought up combining the two QR codes or even adding resources within your community to assist in quitting tobacco use. These resources could be added to the existing resources link in the QR codes. However, if that is not a possibility, you could have one QR code that links to a linktree, which is a very simple website used to organize and compile different links and sites into one. Linktree also doesn’t require any payment to create your own site.</w:t>
      </w:r>
    </w:p>
    <w:p w14:paraId="1749D971"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As for the worksheet shown to the Orange County focus group, many of the participants were confused about what age group it was targeting, and they offered some suggestions for it. One participant said they assumed it was made for children because the activity involves drawing a picture, and suggested we want to change the activity from drawing to writing to appeal more to high schoolers and adults. If you want to gear it more towards children, the participants suggested simpler wording so they’re able to understand it better. They also said to take the name part at the top of the worksheet out because it makes it seem more like an assignment for school. One participant also commented on the picture of the mom, saying she “looks unapproachable” and “I wouldn’t want to talk to her, she looks mean.” Another suggestion that stuck out to me was creating a video of someone going through the steps and showing multiple outcomes, like one person reacting well and another person reacting badly.</w:t>
      </w:r>
    </w:p>
    <w:p w14:paraId="1749D972" w14:textId="77777777" w:rsidR="000B5123" w:rsidRDefault="0059582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Orange County Post-Survey Webpages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(See Figure 16)</w:t>
      </w:r>
    </w:p>
    <w:p w14:paraId="1749D973" w14:textId="02489046"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When going through the Parents/Caregivers webpage, there were a lot of positive reactions from the participants. A few suggestions mentioned were making it available to teens, utilizing smaller sections and bullet points to shorten some text, and providing more information on the tobacco industry. One participant specifically stated, “Some of their early tactic</w:t>
      </w:r>
      <w:r w:rsidR="01EEE39B" w:rsidRPr="3B449B4C">
        <w:rPr>
          <w:rFonts w:ascii="Times New Roman" w:eastAsia="Times New Roman" w:hAnsi="Times New Roman" w:cs="Times New Roman"/>
          <w:sz w:val="24"/>
          <w:szCs w:val="24"/>
          <w:lang w:val="en-US"/>
        </w:rPr>
        <w:t>s</w:t>
      </w:r>
      <w:r w:rsidR="52AC3F06" w:rsidRPr="3B449B4C">
        <w:rPr>
          <w:rFonts w:ascii="Times New Roman" w:eastAsia="Times New Roman" w:hAnsi="Times New Roman" w:cs="Times New Roman"/>
          <w:sz w:val="24"/>
          <w:szCs w:val="24"/>
          <w:lang w:val="en-US"/>
        </w:rPr>
        <w:t xml:space="preserve"> were downright evil. I think it’s important to remind people that they aren’t just fighting their addiction, there is a system designed to perpetuate itself.” That quote really stood out to me, and I also think that including at least some basic information about the tobacco industry could be very helpful for readers. I really liked how they phrased it, because it bashes on the tobacco industry while not making tobacco users feel shame or disappointment within themselves. </w:t>
      </w:r>
    </w:p>
    <w:p w14:paraId="1749D974"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For the Pregnancy and Quitting webpages, the participants' first impressions were generally positive, but one participant brought up how there’s so much information that it’s hard to navigate on a phone. However, many other participants noted that it provides a lot of great information and that the design and layout were great. Aside from that, there weren’t many other suggestions for the Pregnancy webpage, but the Quitting webpage had a few more suggestions. </w:t>
      </w:r>
      <w:r w:rsidR="52AC3F06" w:rsidRPr="3B449B4C">
        <w:rPr>
          <w:rFonts w:ascii="Times New Roman" w:eastAsia="Times New Roman" w:hAnsi="Times New Roman" w:cs="Times New Roman"/>
          <w:sz w:val="24"/>
          <w:szCs w:val="24"/>
          <w:lang w:val="en-US"/>
        </w:rPr>
        <w:lastRenderedPageBreak/>
        <w:t>One participant mentioned how they like the worksheets, but would like it if it was in a printable PDF format. Two participants commented on the amount of text, one suggesting to summarize more and add more information about Quit Now Indiana. The other participant said that using bullet points and photos can help break up the text into smaller sections, making it easier to read.</w:t>
      </w:r>
    </w:p>
    <w:p w14:paraId="1749D975" w14:textId="77777777" w:rsidR="000B5123" w:rsidRDefault="000B5123">
      <w:pPr>
        <w:spacing w:line="360" w:lineRule="auto"/>
        <w:rPr>
          <w:rFonts w:ascii="Times New Roman" w:eastAsia="Times New Roman" w:hAnsi="Times New Roman" w:cs="Times New Roman"/>
          <w:sz w:val="24"/>
          <w:szCs w:val="24"/>
        </w:rPr>
      </w:pPr>
    </w:p>
    <w:p w14:paraId="1749D976" w14:textId="77777777" w:rsidR="000B5123" w:rsidRDefault="0059582A">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Strengths and Weaknesses</w:t>
      </w:r>
    </w:p>
    <w:p w14:paraId="1749D977" w14:textId="77777777" w:rsidR="000B5123" w:rsidRDefault="0059582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Strengths</w:t>
      </w:r>
    </w:p>
    <w:p w14:paraId="1749D978"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Regarding the Breathe educational materials reviewed, many of the positive comments from the participants were for the design and layout of the materials. They were consistently saying these materials were easy to navigate and well-organized. The materials are also all very informative while still being empathetic towards current tobacco users. When I started working with HEP and on the Breathe project, I was very surprised to see how you were focused more on education and promoting healthier behaviors, so the children aren’t exposed. When I think of tobacco cessation or prevention programs, I think of programs that are much harsher and aimed at getting people to quit. While yes, I believe programs like that are important, I also believe that they often result in tobacco users feeling judged or making them feel shameful. Tobacco use is often a coping mechanism, so when people are feeling isolated and judged, they’re likely to return to their coping mechanisms. So overall, I believe one of Breathe's greatest strengths is its approach. Showing empathy and aiming to encourage and empower instead of guilting them will help them get to a point where they no longer have to revert to their tobacco addiction to cope.</w:t>
      </w:r>
    </w:p>
    <w:p w14:paraId="1749D979" w14:textId="48B9F249"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Another strength I noticed throughout this project was the ability to adapt. As stated in the Initial Plan vs. Reality section, many things didn’t go according to our original plan, but we were still able to adjust and make it work. Additionally, in terms of incentives, I think being able to provide dinner and childcare majorly impacted our recruitment numbers. Especially for the Bartholomew County focus group, considering almost every participant brought their children in for childcare. Splitting up the gift cards was also a great way to ensure we g</w:t>
      </w:r>
      <w:r w:rsidR="5DAAE57B" w:rsidRPr="3B449B4C">
        <w:rPr>
          <w:rFonts w:ascii="Times New Roman" w:eastAsia="Times New Roman" w:hAnsi="Times New Roman" w:cs="Times New Roman"/>
          <w:sz w:val="24"/>
          <w:szCs w:val="24"/>
          <w:lang w:val="en-US"/>
        </w:rPr>
        <w:t>o</w:t>
      </w:r>
      <w:r w:rsidR="52AC3F06" w:rsidRPr="3B449B4C">
        <w:rPr>
          <w:rFonts w:ascii="Times New Roman" w:eastAsia="Times New Roman" w:hAnsi="Times New Roman" w:cs="Times New Roman"/>
          <w:sz w:val="24"/>
          <w:szCs w:val="24"/>
          <w:lang w:val="en-US"/>
        </w:rPr>
        <w:t>t as many completed surveys as possible.</w:t>
      </w:r>
    </w:p>
    <w:p w14:paraId="1749D97A" w14:textId="77777777" w:rsidR="000B5123" w:rsidRDefault="0059582A">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Weaknesses and Limitations</w:t>
      </w:r>
    </w:p>
    <w:p w14:paraId="1749D97B"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There were many limitations to these focus groups. Firstly, we weren’t able to get the 3 focus groups we had originally planned on, and instead conducted 2. The audio recording for the Bartholomew County focus group was also of very bad quality, leaving us without a direct </w:t>
      </w:r>
      <w:r w:rsidR="52AC3F06" w:rsidRPr="3B449B4C">
        <w:rPr>
          <w:rFonts w:ascii="Times New Roman" w:eastAsia="Times New Roman" w:hAnsi="Times New Roman" w:cs="Times New Roman"/>
          <w:sz w:val="24"/>
          <w:szCs w:val="24"/>
          <w:lang w:val="en-US"/>
        </w:rPr>
        <w:lastRenderedPageBreak/>
        <w:t xml:space="preserve">transcript from the focus group. This made it more difficult to evaluate the materials reviewed there because we weren’t able to document or record many of their suggestions. However, this was changed for the next focus group, where we decided to use VoiceMemos instead of Zoom. The post-survey report for the Bartholomew County focus group looks different because, before the report had been downloaded, the survey had been edited in SurveyMonkey to update the questions for the Orange County focus groups. Though I was still able to get insightful feedback for the Breathe materials shown during the Bartholomew County focus group. The post-survey responses also weren’t as detailed as Tanya and I had hoped. While we did still get good feedback from the post-surveys, I also noticed it was typically the same 3 people within each focus group leaving those suggestions. </w:t>
      </w:r>
    </w:p>
    <w:p w14:paraId="1749D97C" w14:textId="77777777" w:rsidR="000B5123" w:rsidRDefault="000B5123">
      <w:pPr>
        <w:spacing w:line="360" w:lineRule="auto"/>
        <w:rPr>
          <w:rFonts w:ascii="Times New Roman" w:eastAsia="Times New Roman" w:hAnsi="Times New Roman" w:cs="Times New Roman"/>
          <w:sz w:val="24"/>
          <w:szCs w:val="24"/>
        </w:rPr>
      </w:pPr>
    </w:p>
    <w:p w14:paraId="1749D97D" w14:textId="77777777" w:rsidR="000B5123" w:rsidRDefault="0059582A">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Recommendations Based on My Own Experience</w:t>
      </w:r>
    </w:p>
    <w:p w14:paraId="1749D97E"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From my own experience, I have multiple recommendations for the Breathe program and future evaluations. First, there should be more closed-ended questions on the post-survey. While we did get good feedback from our post-survey, we had hoped for more in-depth responses. Many of the participants' comments were short, stating what they didn’t like without specifying why or offering recommendations. Increasing the number of closed-ended questions could help us get more information about their attitudes and behaviors towards the materials they reviewed. That being said, I think the post-survey should still include more open-ended questions than the pre-survey. I think changing some of the questions could also be helpful, because I noticed a lot of the participants weren’t giving us feedback on the materials they reviewed and were instead saying what it reminded them of. Restructuring some of the questions to specifically ask for feedback about the design, layout, graphics, text, and other elements included in the Breathe material. I would keep the questions asking what they would change about the material they're reviewing, as that’s one of the questions we got the most feedback on.</w:t>
      </w:r>
    </w:p>
    <w:p w14:paraId="1749D97F" w14:textId="77777777" w:rsidR="000B5123" w:rsidRDefault="0059582A" w:rsidP="3B449B4C">
      <w:pPr>
        <w:spacing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52AC3F06" w:rsidRPr="3B449B4C">
        <w:rPr>
          <w:rFonts w:ascii="Times New Roman" w:eastAsia="Times New Roman" w:hAnsi="Times New Roman" w:cs="Times New Roman"/>
          <w:sz w:val="24"/>
          <w:szCs w:val="24"/>
          <w:lang w:val="en-US"/>
        </w:rPr>
        <w:t xml:space="preserve">I’d also suggest always having 2 recording devices to audio record focus groups in the future. The Zoom meeting audio wasn’t clear and led to us missing a lot of feedback and suggestions for the handout and worksheet reviewed in Bartholomew County. For the second focus group, we adjusted and had 2 devices audio recording facing different sides of the table, and it seemed to have worked better. If you continue to use Zoom to record future evaluations, remember to set it up before creating the meeting, where it’ll automatically save the recording </w:t>
      </w:r>
      <w:r w:rsidR="52AC3F06" w:rsidRPr="3B449B4C">
        <w:rPr>
          <w:rFonts w:ascii="Times New Roman" w:eastAsia="Times New Roman" w:hAnsi="Times New Roman" w:cs="Times New Roman"/>
          <w:sz w:val="24"/>
          <w:szCs w:val="24"/>
          <w:lang w:val="en-US"/>
        </w:rPr>
        <w:lastRenderedPageBreak/>
        <w:t xml:space="preserve">and create a transcript. I also tested out using the VoiceMemos app on my iPhone, and it picked up the audio very well. VoiceMemos also has a feature to make a transcript based on the recording, which is how we got the full transcript from the Orange County focus group. When exporting the automatic transcript, no matter where you get it from, I’d still go back and edit it, because it doesn’t differentiate who’s talking and messes up quite a few words. </w:t>
      </w:r>
      <w:r w:rsidRPr="3B449B4C">
        <w:rPr>
          <w:lang w:val="en-US"/>
        </w:rPr>
        <w:br w:type="page"/>
      </w:r>
    </w:p>
    <w:p w14:paraId="1749D980" w14:textId="77777777" w:rsidR="000B5123" w:rsidRDefault="0059582A">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Appendix</w:t>
      </w:r>
    </w:p>
    <w:p w14:paraId="1749D981" w14:textId="77777777" w:rsidR="000B5123" w:rsidRDefault="0059582A">
      <w:pPr>
        <w:spacing w:line="360" w:lineRule="auto"/>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HEP-Breathe Spring26’ Final Report Appendix</w:t>
        </w:r>
      </w:hyperlink>
    </w:p>
    <w:sectPr w:rsidR="000B5123">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lison Muckerheide" w:date="2026-07-01T16:30:00Z" w:initials="AM">
    <w:p w14:paraId="392D1940" w14:textId="4890C111" w:rsidR="00000000" w:rsidRDefault="00000000">
      <w:r>
        <w:annotationRef/>
      </w:r>
      <w:r w:rsidRPr="1BCBC8EA">
        <w:t>If done again in the future, it could be better to do a voice recording on an iPhone where sound quality may be better or another voice recording device.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92D19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3226D751" w16cex:dateUtc="2026-07-01T2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92D1940" w16cid:durableId="3226D75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566458A-1195-C041-9A92-872DF0CFE434}"/>
    <w:embedItalic r:id="rId2" w:fontKey="{C19523E7-9313-C946-9269-352593B6E27D}"/>
  </w:font>
  <w:font w:name="Times New Roman">
    <w:panose1 w:val="02020603050405020304"/>
    <w:charset w:val="00"/>
    <w:family w:val="roman"/>
    <w:pitch w:val="variable"/>
    <w:sig w:usb0="E0002EFF" w:usb1="C000785B" w:usb2="00000009" w:usb3="00000000" w:csb0="000001FF" w:csb1="00000000"/>
    <w:embedRegular r:id="rId3" w:fontKey="{624A40D3-5950-E44F-8750-81E952A27347}"/>
    <w:embedBold r:id="rId4" w:fontKey="{D7759F0F-D190-564A-A201-B2F975C68DAD}"/>
    <w:embedItalic r:id="rId5" w:fontKey="{505F9358-53D7-C049-BF6E-06A22AFCD6D4}"/>
  </w:font>
  <w:font w:name="Calibri">
    <w:panose1 w:val="020F0502020204030204"/>
    <w:charset w:val="00"/>
    <w:family w:val="swiss"/>
    <w:pitch w:val="variable"/>
    <w:sig w:usb0="E4002EFF" w:usb1="C200247B" w:usb2="00000009" w:usb3="00000000" w:csb0="000001FF" w:csb1="00000000"/>
    <w:embedRegular r:id="rId6" w:fontKey="{F1A890E1-0CF0-884B-8C23-4D93359BAACC}"/>
  </w:font>
  <w:font w:name="Cambria">
    <w:panose1 w:val="02040503050406030204"/>
    <w:charset w:val="00"/>
    <w:family w:val="roman"/>
    <w:pitch w:val="variable"/>
    <w:sig w:usb0="E00006FF" w:usb1="420024FF" w:usb2="02000000" w:usb3="00000000" w:csb0="0000019F" w:csb1="00000000"/>
    <w:embedRegular r:id="rId7" w:fontKey="{F531CFCA-2BCD-D847-9A2E-DDC1EEB5F3EA}"/>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lison Muckerheide">
    <w15:presenceInfo w15:providerId="AD" w15:userId="S::alisonm@healthedpros.org::a25c47ab-a81b-4842-b6c5-ff290333c21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123"/>
    <w:rsid w:val="000704B3"/>
    <w:rsid w:val="000B5123"/>
    <w:rsid w:val="001A1C24"/>
    <w:rsid w:val="002A68F3"/>
    <w:rsid w:val="00371AC4"/>
    <w:rsid w:val="0041752B"/>
    <w:rsid w:val="004175CC"/>
    <w:rsid w:val="004B7656"/>
    <w:rsid w:val="00507055"/>
    <w:rsid w:val="0059582A"/>
    <w:rsid w:val="005C1B7E"/>
    <w:rsid w:val="006D23A1"/>
    <w:rsid w:val="009A4A72"/>
    <w:rsid w:val="00A74CDF"/>
    <w:rsid w:val="00AA1E7D"/>
    <w:rsid w:val="00AE01EB"/>
    <w:rsid w:val="00BC05A8"/>
    <w:rsid w:val="00BD17FB"/>
    <w:rsid w:val="00C06438"/>
    <w:rsid w:val="00C11523"/>
    <w:rsid w:val="00C305C6"/>
    <w:rsid w:val="00D477FD"/>
    <w:rsid w:val="00E1416A"/>
    <w:rsid w:val="00EF7AA2"/>
    <w:rsid w:val="00FC7DCE"/>
    <w:rsid w:val="01EEE39B"/>
    <w:rsid w:val="3B449B4C"/>
    <w:rsid w:val="405D4024"/>
    <w:rsid w:val="43AFE56A"/>
    <w:rsid w:val="44BE54B9"/>
    <w:rsid w:val="52AC3F06"/>
    <w:rsid w:val="5D9B132B"/>
    <w:rsid w:val="5DAAE57B"/>
    <w:rsid w:val="6A089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D92C"/>
  <w15:docId w15:val="{D484CEA3-F1CD-45D6-A24D-804029780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vGuXweA8dshUIztBfIBEIqWXNjE44txE?usp=drive_link" TargetMode="Externa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theme" Target="theme/theme1.xml"/><Relationship Id="rId5" Type="http://schemas.microsoft.com/office/2011/relationships/commentsExtended" Target="commentsExtended.xml"/><Relationship Id="rId10" Type="http://schemas.microsoft.com/office/2011/relationships/people" Target="people.xml"/><Relationship Id="rId4" Type="http://schemas.openxmlformats.org/officeDocument/2006/relationships/comments" Target="comment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5552</Words>
  <Characters>40088</Characters>
  <Application>Microsoft Office Word</Application>
  <DocSecurity>0</DocSecurity>
  <Lines>3644</Lines>
  <Paragraphs>2535</Paragraphs>
  <ScaleCrop>false</ScaleCrop>
  <Company/>
  <LinksUpToDate>false</LinksUpToDate>
  <CharactersWithSpaces>43105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Alison Muckerheide</cp:lastModifiedBy>
  <cp:revision>2</cp:revision>
  <dcterms:created xsi:type="dcterms:W3CDTF">2026-08-05T19:20:00Z</dcterms:created>
  <dcterms:modified xsi:type="dcterms:W3CDTF">2026-08-05T19:20:00Z</dcterms:modified>
</cp:coreProperties>
</file>